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31" w:rsidRPr="00530EF5" w:rsidRDefault="00736C31" w:rsidP="00736C31">
      <w:pPr>
        <w:ind w:left="6520"/>
        <w:rPr>
          <w:rFonts w:ascii="Verdana" w:hAnsi="Verdana"/>
          <w:i/>
          <w:sz w:val="20"/>
          <w:lang w:val="en-US"/>
        </w:rPr>
      </w:pPr>
      <w:r w:rsidRPr="00530EF5">
        <w:rPr>
          <w:rFonts w:ascii="Verdana" w:hAnsi="Verdana"/>
          <w:noProof/>
          <w:sz w:val="20"/>
          <w:lang w:val="en-GB" w:eastAsia="en-GB"/>
        </w:rPr>
        <w:drawing>
          <wp:inline distT="0" distB="0" distL="0" distR="0" wp14:anchorId="1CBF84F1" wp14:editId="7A5BC76C">
            <wp:extent cx="1755775" cy="943610"/>
            <wp:effectExtent l="19050" t="0" r="0" b="0"/>
            <wp:docPr id="1" name="Bild 1" descr="arcpap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rcpap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5FE" w:rsidRPr="00530EF5">
        <w:rPr>
          <w:rFonts w:ascii="Verdana" w:hAnsi="Verdana"/>
          <w:i/>
          <w:sz w:val="20"/>
          <w:lang w:val="en-US"/>
        </w:rPr>
        <w:t xml:space="preserve"> </w:t>
      </w:r>
    </w:p>
    <w:p w:rsidR="00736C31" w:rsidRDefault="00250E8A" w:rsidP="00250E8A">
      <w:pPr>
        <w:rPr>
          <w:rFonts w:ascii="Verdana" w:hAnsi="Verdana" w:cs="Avenir LT Com 45 Book"/>
          <w:sz w:val="20"/>
          <w:lang w:val="en-US"/>
        </w:rPr>
      </w:pPr>
      <w:r w:rsidRPr="00250E8A">
        <w:rPr>
          <w:rFonts w:ascii="Verdana" w:hAnsi="Verdana" w:cs="Avenir LT Com 45 Book"/>
          <w:sz w:val="20"/>
          <w:lang w:val="en-US"/>
        </w:rPr>
        <w:t>PRESSEMITTEILUNG</w:t>
      </w:r>
    </w:p>
    <w:p w:rsidR="00E47C37" w:rsidRPr="00530EF5" w:rsidRDefault="00250E8A" w:rsidP="00250E8A">
      <w:pPr>
        <w:jc w:val="right"/>
        <w:rPr>
          <w:rFonts w:ascii="Verdana" w:hAnsi="Verdana" w:cs="Avenir LT Com 85 Heavy"/>
          <w:b/>
          <w:bCs/>
          <w:sz w:val="32"/>
          <w:szCs w:val="32"/>
          <w:lang w:val="en-US"/>
        </w:rPr>
      </w:pPr>
      <w:proofErr w:type="spellStart"/>
      <w:r>
        <w:rPr>
          <w:rFonts w:ascii="Verdana" w:hAnsi="Verdana" w:cs="Avenir LT Com 45 Book"/>
          <w:sz w:val="20"/>
          <w:lang w:val="en-US"/>
        </w:rPr>
        <w:t>Poznań</w:t>
      </w:r>
      <w:proofErr w:type="spellEnd"/>
      <w:r>
        <w:rPr>
          <w:rFonts w:ascii="Verdana" w:hAnsi="Verdana" w:cs="Avenir LT Com 45 Book"/>
          <w:sz w:val="20"/>
          <w:lang w:val="en-US"/>
        </w:rPr>
        <w:t>, XX MARCH 2015</w:t>
      </w:r>
    </w:p>
    <w:p w:rsidR="00250E8A" w:rsidRDefault="00250E8A" w:rsidP="00D83058">
      <w:pPr>
        <w:rPr>
          <w:rFonts w:ascii="Verdana" w:hAnsi="Verdana" w:cs="Arial"/>
          <w:b/>
          <w:sz w:val="30"/>
          <w:szCs w:val="30"/>
          <w:lang w:val="en-US"/>
        </w:rPr>
      </w:pPr>
    </w:p>
    <w:p w:rsidR="00A958BE" w:rsidRPr="00250E8A" w:rsidRDefault="00A958BE" w:rsidP="00D83058">
      <w:pPr>
        <w:rPr>
          <w:rFonts w:ascii="Verdana" w:hAnsi="Verdana" w:cs="Arial"/>
          <w:b/>
          <w:sz w:val="30"/>
          <w:szCs w:val="30"/>
          <w:lang w:val="en-US"/>
        </w:rPr>
      </w:pPr>
    </w:p>
    <w:p w:rsidR="00D83058" w:rsidRPr="00530EF5" w:rsidRDefault="005C618D" w:rsidP="00D83058">
      <w:pPr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sz w:val="30"/>
          <w:szCs w:val="30"/>
          <w:lang w:val="en-GB"/>
        </w:rPr>
        <w:t xml:space="preserve">HEADING SIZE 15 </w:t>
      </w:r>
      <w:r>
        <w:rPr>
          <w:rFonts w:ascii="Verdana" w:hAnsi="Verdana" w:cs="Arial"/>
          <w:b/>
          <w:sz w:val="30"/>
          <w:szCs w:val="30"/>
          <w:lang w:val="en-GB"/>
        </w:rPr>
        <w:br/>
      </w:r>
    </w:p>
    <w:p w:rsidR="00D83058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 xml:space="preserve">INTRODUCTION SIZE 10 BOLD - </w:t>
      </w:r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do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eiusmod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incididunt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magna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ad minim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veniam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quis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nostrud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exercitation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ullamco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aliquip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consequat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Duis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aute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irure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reprehenderit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voluptate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esse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cillum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fugiat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pariatur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Excepteur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sint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occaecat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cupidatat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proident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culpa qui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officia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deserunt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mollit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id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laborum</w:t>
      </w:r>
      <w:proofErr w:type="spellEnd"/>
      <w:r>
        <w:rPr>
          <w:rFonts w:ascii="Verdana" w:hAnsi="Verdana" w:cs="Arial"/>
          <w:b/>
          <w:sz w:val="20"/>
          <w:szCs w:val="20"/>
          <w:lang w:val="en-GB"/>
        </w:rPr>
        <w:t>.</w:t>
      </w:r>
    </w:p>
    <w:p w:rsidR="00880004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</w:p>
    <w:p w:rsidR="00880004" w:rsidRPr="00530EF5" w:rsidRDefault="00880004" w:rsidP="00D83058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TEXT SIZE 10 -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malesuada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euismod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non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r w:rsidRPr="00880004">
        <w:rPr>
          <w:rFonts w:ascii="Verdana" w:hAnsi="Verdana" w:cs="Arial"/>
          <w:sz w:val="20"/>
          <w:szCs w:val="20"/>
        </w:rPr>
        <w:t xml:space="preserve">Mauris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ligula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sit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Integer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leo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ut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scelerisque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 ante.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ut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880004">
        <w:rPr>
          <w:rFonts w:ascii="Verdana" w:hAnsi="Verdana" w:cs="Arial"/>
          <w:sz w:val="20"/>
          <w:szCs w:val="20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Curabitur </w:t>
      </w:r>
      <w:proofErr w:type="spellStart"/>
      <w:r w:rsidRPr="00880004">
        <w:rPr>
          <w:rFonts w:ascii="Verdana" w:hAnsi="Verdana" w:cs="Arial"/>
          <w:sz w:val="20"/>
          <w:szCs w:val="20"/>
        </w:rPr>
        <w:t>elementum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luctus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lorem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dictum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eget </w:t>
      </w:r>
      <w:proofErr w:type="spellStart"/>
      <w:r w:rsidRPr="00880004">
        <w:rPr>
          <w:rFonts w:ascii="Verdana" w:hAnsi="Verdana" w:cs="Arial"/>
          <w:sz w:val="20"/>
          <w:szCs w:val="20"/>
        </w:rPr>
        <w:t>accumsan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condimentum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convallis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convallis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interdum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sem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dignissim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Integer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posuere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quam.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convallis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pellentesque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rhoncus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ante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dui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leo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quam,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faucibus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eros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id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libero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Nam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 ipsum.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Nunc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dui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efficitur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porttitor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ut.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Maecenas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nunc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Integer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purus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laoreet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imperdiet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256675" w:rsidRDefault="00880004" w:rsidP="00880004">
      <w:pPr>
        <w:rPr>
          <w:rFonts w:ascii="Verdana" w:hAnsi="Verdana" w:cs="Arial"/>
          <w:sz w:val="20"/>
          <w:szCs w:val="20"/>
          <w:lang w:val="de-DE"/>
        </w:rPr>
      </w:pP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hac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habitasse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platea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dictumst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libero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vitae gravida eros. </w:t>
      </w:r>
      <w:proofErr w:type="spellStart"/>
      <w:r w:rsidRPr="00880004">
        <w:rPr>
          <w:rFonts w:ascii="Verdana" w:hAnsi="Verdana" w:cs="Arial"/>
          <w:sz w:val="20"/>
          <w:szCs w:val="20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non </w:t>
      </w:r>
      <w:proofErr w:type="spellStart"/>
      <w:r w:rsidRPr="00880004">
        <w:rPr>
          <w:rFonts w:ascii="Verdana" w:hAnsi="Verdana" w:cs="Arial"/>
          <w:sz w:val="20"/>
          <w:szCs w:val="20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Cum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sociis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natoque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penatibus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magnis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dis parturient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montes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nascetur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ridiculus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mus.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Morbi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vehicula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ligula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porta.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256675">
        <w:rPr>
          <w:rFonts w:ascii="Verdana" w:hAnsi="Verdana" w:cs="Arial"/>
          <w:sz w:val="20"/>
          <w:szCs w:val="20"/>
          <w:lang w:val="de-DE"/>
        </w:rPr>
        <w:t>Sed</w:t>
      </w:r>
      <w:proofErr w:type="spellEnd"/>
      <w:r w:rsidRPr="00256675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256675">
        <w:rPr>
          <w:rFonts w:ascii="Verdana" w:hAnsi="Verdana" w:cs="Arial"/>
          <w:sz w:val="20"/>
          <w:szCs w:val="20"/>
          <w:lang w:val="de-DE"/>
        </w:rPr>
        <w:t>dignissim</w:t>
      </w:r>
      <w:proofErr w:type="spellEnd"/>
      <w:r w:rsidRPr="00256675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256675">
        <w:rPr>
          <w:rFonts w:ascii="Verdana" w:hAnsi="Verdana" w:cs="Arial"/>
          <w:sz w:val="20"/>
          <w:szCs w:val="20"/>
          <w:lang w:val="de-DE"/>
        </w:rPr>
        <w:t>lorem</w:t>
      </w:r>
      <w:proofErr w:type="spellEnd"/>
      <w:r w:rsidRPr="00256675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256675">
        <w:rPr>
          <w:rFonts w:ascii="Verdana" w:hAnsi="Verdana" w:cs="Arial"/>
          <w:sz w:val="20"/>
          <w:szCs w:val="20"/>
          <w:lang w:val="de-DE"/>
        </w:rPr>
        <w:t>sed</w:t>
      </w:r>
      <w:proofErr w:type="spellEnd"/>
      <w:r w:rsidRPr="00256675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256675">
        <w:rPr>
          <w:rFonts w:ascii="Verdana" w:hAnsi="Verdana" w:cs="Arial"/>
          <w:sz w:val="20"/>
          <w:szCs w:val="20"/>
          <w:lang w:val="de-DE"/>
        </w:rPr>
        <w:t>lectus</w:t>
      </w:r>
      <w:proofErr w:type="spellEnd"/>
      <w:r w:rsidRPr="00256675">
        <w:rPr>
          <w:rFonts w:ascii="Verdana" w:hAnsi="Verdana" w:cs="Arial"/>
          <w:sz w:val="20"/>
          <w:szCs w:val="20"/>
          <w:lang w:val="de-DE"/>
        </w:rPr>
        <w:t xml:space="preserve"> commodo </w:t>
      </w:r>
      <w:proofErr w:type="spellStart"/>
      <w:r w:rsidRPr="00256675">
        <w:rPr>
          <w:rFonts w:ascii="Verdana" w:hAnsi="Verdana" w:cs="Arial"/>
          <w:sz w:val="20"/>
          <w:szCs w:val="20"/>
          <w:lang w:val="de-DE"/>
        </w:rPr>
        <w:t>finibus</w:t>
      </w:r>
      <w:proofErr w:type="spellEnd"/>
      <w:r w:rsidRPr="00256675">
        <w:rPr>
          <w:rFonts w:ascii="Verdana" w:hAnsi="Verdana" w:cs="Arial"/>
          <w:sz w:val="20"/>
          <w:szCs w:val="20"/>
          <w:lang w:val="de-DE"/>
        </w:rPr>
        <w:t xml:space="preserve">. </w:t>
      </w:r>
    </w:p>
    <w:p w:rsidR="00880004" w:rsidRPr="00256675" w:rsidRDefault="00880004" w:rsidP="00880004">
      <w:pPr>
        <w:rPr>
          <w:rFonts w:ascii="Verdana" w:hAnsi="Verdana" w:cs="Arial"/>
          <w:sz w:val="20"/>
          <w:szCs w:val="20"/>
          <w:lang w:val="de-DE"/>
        </w:rPr>
      </w:pPr>
    </w:p>
    <w:p w:rsidR="00880004" w:rsidRPr="00A958BE" w:rsidRDefault="00A958BE" w:rsidP="00A67335">
      <w:pPr>
        <w:rPr>
          <w:rFonts w:ascii="Verdana" w:hAnsi="Verdana"/>
          <w:i/>
          <w:iCs/>
          <w:sz w:val="20"/>
          <w:szCs w:val="20"/>
          <w:lang w:val="de-DE"/>
        </w:rPr>
      </w:pPr>
      <w:r w:rsidRPr="00A958BE">
        <w:rPr>
          <w:rFonts w:ascii="Verdana" w:hAnsi="Verdana"/>
          <w:i/>
          <w:iCs/>
          <w:sz w:val="20"/>
          <w:szCs w:val="20"/>
          <w:lang w:val="de-DE"/>
        </w:rPr>
        <w:br/>
      </w:r>
      <w:r>
        <w:rPr>
          <w:rFonts w:ascii="Verdana" w:hAnsi="Verdana"/>
          <w:i/>
          <w:iCs/>
          <w:sz w:val="20"/>
          <w:szCs w:val="20"/>
          <w:lang w:val="de-DE"/>
        </w:rPr>
        <w:br/>
      </w:r>
      <w:r w:rsidR="00FA07A7" w:rsidRPr="00A958BE">
        <w:rPr>
          <w:rFonts w:ascii="Verdana" w:hAnsi="Verdana"/>
          <w:i/>
          <w:iCs/>
          <w:sz w:val="20"/>
          <w:szCs w:val="20"/>
          <w:lang w:val="de-DE"/>
        </w:rPr>
        <w:lastRenderedPageBreak/>
        <w:t>Weitere Presseinformationen durch:</w:t>
      </w:r>
      <w:r w:rsidR="00B15CAA" w:rsidRPr="00A958BE">
        <w:rPr>
          <w:rFonts w:ascii="Verdana" w:hAnsi="Verdana"/>
          <w:i/>
          <w:iCs/>
          <w:sz w:val="20"/>
          <w:szCs w:val="20"/>
          <w:lang w:val="de-DE"/>
        </w:rPr>
        <w:br/>
      </w:r>
    </w:p>
    <w:p w:rsidR="00213EC6" w:rsidRPr="00256675" w:rsidRDefault="00880004" w:rsidP="00A67335">
      <w:pPr>
        <w:rPr>
          <w:rFonts w:ascii="Verdana" w:hAnsi="Verdana"/>
          <w:sz w:val="20"/>
          <w:szCs w:val="20"/>
          <w:lang w:val="en-GB"/>
        </w:rPr>
      </w:pPr>
      <w:r w:rsidRPr="00256675">
        <w:rPr>
          <w:rFonts w:ascii="Verdana" w:hAnsi="Verdana"/>
          <w:sz w:val="20"/>
          <w:szCs w:val="20"/>
          <w:lang w:val="en-GB"/>
        </w:rPr>
        <w:t>Name</w:t>
      </w:r>
      <w:r w:rsidR="007250C5" w:rsidRPr="00256675">
        <w:rPr>
          <w:rFonts w:ascii="Verdana" w:hAnsi="Verdana"/>
          <w:sz w:val="20"/>
          <w:szCs w:val="20"/>
          <w:lang w:val="en-GB"/>
        </w:rPr>
        <w:t xml:space="preserve">, </w:t>
      </w:r>
      <w:r w:rsidRPr="00256675">
        <w:rPr>
          <w:rFonts w:ascii="Verdana" w:hAnsi="Verdana"/>
          <w:sz w:val="20"/>
          <w:szCs w:val="20"/>
          <w:lang w:val="en-GB"/>
        </w:rPr>
        <w:t xml:space="preserve">title, </w:t>
      </w:r>
      <w:proofErr w:type="spellStart"/>
      <w:r w:rsidRPr="00256675">
        <w:rPr>
          <w:rFonts w:ascii="Verdana" w:hAnsi="Verdana"/>
          <w:sz w:val="20"/>
          <w:szCs w:val="20"/>
          <w:lang w:val="en-GB"/>
        </w:rPr>
        <w:t>tel</w:t>
      </w:r>
      <w:proofErr w:type="spellEnd"/>
      <w:r w:rsidRPr="00256675">
        <w:rPr>
          <w:rFonts w:ascii="Verdana" w:hAnsi="Verdana"/>
          <w:sz w:val="20"/>
          <w:szCs w:val="20"/>
          <w:lang w:val="en-GB"/>
        </w:rPr>
        <w:t xml:space="preserve"> +XX </w:t>
      </w:r>
      <w:proofErr w:type="spellStart"/>
      <w:r w:rsidRPr="00256675">
        <w:rPr>
          <w:rFonts w:ascii="Verdana" w:hAnsi="Verdana"/>
          <w:sz w:val="20"/>
          <w:szCs w:val="20"/>
          <w:lang w:val="en-GB"/>
        </w:rPr>
        <w:t>XX</w:t>
      </w:r>
      <w:proofErr w:type="spellEnd"/>
      <w:r w:rsidRPr="00256675">
        <w:rPr>
          <w:rFonts w:ascii="Verdana" w:hAnsi="Verdana"/>
          <w:sz w:val="20"/>
          <w:szCs w:val="20"/>
          <w:lang w:val="en-GB"/>
        </w:rPr>
        <w:t> XXX XX</w:t>
      </w:r>
      <w:r w:rsidR="007250C5" w:rsidRPr="00256675">
        <w:rPr>
          <w:rFonts w:ascii="Verdana" w:hAnsi="Verdana"/>
          <w:sz w:val="20"/>
          <w:szCs w:val="20"/>
          <w:lang w:val="en-GB"/>
        </w:rPr>
        <w:t xml:space="preserve">, </w:t>
      </w:r>
      <w:hyperlink r:id="rId9" w:history="1">
        <w:r w:rsidRPr="00256675">
          <w:rPr>
            <w:rStyle w:val="Hyperlink"/>
            <w:rFonts w:ascii="Verdana" w:hAnsi="Verdana"/>
            <w:sz w:val="20"/>
            <w:szCs w:val="20"/>
            <w:lang w:val="en-GB"/>
          </w:rPr>
          <w:t>email@arcticpaper.com</w:t>
        </w:r>
      </w:hyperlink>
      <w:r w:rsidR="00FA07A7" w:rsidRPr="00256675">
        <w:rPr>
          <w:rStyle w:val="Hyperlink"/>
          <w:rFonts w:ascii="Verdana" w:hAnsi="Verdana"/>
          <w:sz w:val="20"/>
          <w:szCs w:val="20"/>
          <w:lang w:val="en-GB"/>
        </w:rPr>
        <w:br/>
      </w:r>
      <w:r w:rsidRPr="00256675">
        <w:rPr>
          <w:rFonts w:ascii="Verdana" w:hAnsi="Verdana"/>
          <w:sz w:val="20"/>
          <w:szCs w:val="20"/>
          <w:lang w:val="en-GB"/>
        </w:rPr>
        <w:br/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b/>
          <w:sz w:val="20"/>
          <w:szCs w:val="20"/>
          <w:lang w:val="de-DE"/>
        </w:rPr>
        <w:t>ARCTIC PAPER S.A.</w:t>
      </w:r>
      <w:r w:rsidRPr="00256675">
        <w:rPr>
          <w:rFonts w:ascii="Verdana" w:hAnsi="Verdana"/>
          <w:sz w:val="20"/>
          <w:szCs w:val="20"/>
          <w:lang w:val="de-DE"/>
        </w:rPr>
        <w:t xml:space="preserve"> ist einer der führenden europäischen Hersteller von hochwertigen grafischen Feinpapieren. Das Unternehmen produziert gestrichene und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ungestrichene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holzfreie Papiere und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ungestrichene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holzhaltige Papiere für anspruchsvolle Druckereien, Verlage, Werbeagenturen, den Papiergroßhandel und Verpackungsmittelhersteller. Das Produktportfolio umfasst die bekannten Marken Amber, AP-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Tec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, Arctic, G-Print,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Munken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, L-Print und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Pamo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>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>Die Produkte werden in vier Fabriken produziert: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- Arctic Paper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Munkedals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>, Schweden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- Arctic Paper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Grycksbo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>, Schweden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- Arctic Paper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Kostzryn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>, Polen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>- Arctic Paper Mochenwangen, Deutschland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>Die Produktionskapazität der vier Werke beläuft sich auf ca. 800.000 t Papier pro Jahr.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Arctic Paper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Kostrzyn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hat eine Produktionskapazität von 275.000 t Papier pro Jahr. Das Werk produziert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ungestrichene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holzfreie Papiere für Formulare, Briefumschläge, Broschüren und Bücher.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Arctic Paper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Grycksbo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hat eine Produktionskapazität von 260.000 t Papier pro Jahr. Das Werk produziert gestrichene Papiere für Magazine,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Direct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Mailings, Bücher, Poster, Straßenkarten und Verpackungsanwendungen.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Arctic Paper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Munkedals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hat eine Produktionskapazität von 160.000 t Papier pro Jahr. Das Werk produziert hochwertige holzfreie und leicht holzhaltige Papiere für die Buchproduktion und Design- und Werbedruckerzeugnisse.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>Arctic Paper Mochenwangen hat eine Produktionskapazität von 95.000 t Papier und 55.000 Holzschliffzellstoff pro Jahr. Das Werk produziert holzhaltige Papiere für die Buchproduktion und Spezialpapiere für Fußböden, Tapeten und Verpackungsanwendungen.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Arctic Paper S.A. ist der Hauptanteilseigner des Zellstoffherstellers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Rottneros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AB mit einer Produktionskapazität von ca. 400.000 t Zellstoff pro Jahr in zwei Werken. Die Zellstofffabrik in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Vallvik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mit einer Kapazität von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240.000 t Zellstoff pro Jahr, produziert zwei verschiedene Arten von Langfaser-Sulfat-Zellstoff. Die Fabrik in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Rottneros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hat eine Kapazität von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>170.000 t Zellstoff pro Jahr und produziert hauptsächlich zwei Arten von mechanischen Zellstoff, Holzschliff und CTMP.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>Die Vertriebsbüros und Distributionscenter sind ein wichtiger und einzigartiger Bestandteil von Arctic Paper. Hier werden die Produkte landesspezifisch und kundenorientiert vermarktet, die Logistik verwaltet und überwacht. Arctic Pa</w:t>
      </w:r>
      <w:r w:rsidR="003D1DBF">
        <w:rPr>
          <w:rFonts w:ascii="Verdana" w:hAnsi="Verdana"/>
          <w:sz w:val="20"/>
          <w:szCs w:val="20"/>
          <w:lang w:val="de-DE"/>
        </w:rPr>
        <w:t>per S.A. verfügt derzeit über 14</w:t>
      </w:r>
      <w:bookmarkStart w:id="0" w:name="_GoBack"/>
      <w:bookmarkEnd w:id="0"/>
      <w:r w:rsidRPr="00256675">
        <w:rPr>
          <w:rFonts w:ascii="Verdana" w:hAnsi="Verdana"/>
          <w:sz w:val="20"/>
          <w:szCs w:val="20"/>
          <w:lang w:val="de-DE"/>
        </w:rPr>
        <w:t xml:space="preserve"> Vertriebsbüros und hat somit Zugang zu allen wichtigen europäischen Märkten.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Das Unternehmen hat 1.500 Mitarbeiter (exkl.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Rottneros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>) und hat seinen Unternehmenssitz in Polen.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t xml:space="preserve">Das schwedische Unternehmen </w:t>
      </w:r>
      <w:proofErr w:type="spellStart"/>
      <w:r w:rsidRPr="00256675">
        <w:rPr>
          <w:rFonts w:ascii="Verdana" w:hAnsi="Verdana"/>
          <w:sz w:val="20"/>
          <w:szCs w:val="20"/>
          <w:lang w:val="de-DE"/>
        </w:rPr>
        <w:t>Nemus</w:t>
      </w:r>
      <w:proofErr w:type="spellEnd"/>
      <w:r w:rsidRPr="00256675">
        <w:rPr>
          <w:rFonts w:ascii="Verdana" w:hAnsi="Verdana"/>
          <w:sz w:val="20"/>
          <w:szCs w:val="20"/>
          <w:lang w:val="de-DE"/>
        </w:rPr>
        <w:t xml:space="preserve"> Holding AB ist der Hauptanteilseigner von Arctic Paper S.A</w:t>
      </w:r>
      <w:proofErr w:type="gramStart"/>
      <w:r w:rsidRPr="00256675">
        <w:rPr>
          <w:rFonts w:ascii="Verdana" w:hAnsi="Verdana"/>
          <w:sz w:val="20"/>
          <w:szCs w:val="20"/>
          <w:lang w:val="de-DE"/>
        </w:rPr>
        <w:t>..</w:t>
      </w:r>
      <w:proofErr w:type="gramEnd"/>
      <w:r w:rsidRPr="00256675">
        <w:rPr>
          <w:rFonts w:ascii="Verdana" w:hAnsi="Verdana"/>
          <w:sz w:val="20"/>
          <w:szCs w:val="20"/>
          <w:lang w:val="de-DE"/>
        </w:rPr>
        <w:t xml:space="preserve"> Arctic Paper S.A. ist seit 2009 an der Warschauer Börse gelistet und seit 2012 ebenfalls an der NASDAQ OMX in Stockholm.</w:t>
      </w:r>
    </w:p>
    <w:p w:rsidR="00256675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</w:p>
    <w:p w:rsidR="00FA07A7" w:rsidRPr="00256675" w:rsidRDefault="00256675" w:rsidP="00256675">
      <w:pPr>
        <w:rPr>
          <w:rFonts w:ascii="Verdana" w:hAnsi="Verdana"/>
          <w:sz w:val="20"/>
          <w:szCs w:val="20"/>
          <w:lang w:val="de-DE"/>
        </w:rPr>
      </w:pPr>
      <w:r w:rsidRPr="00256675">
        <w:rPr>
          <w:rFonts w:ascii="Verdana" w:hAnsi="Verdana"/>
          <w:sz w:val="20"/>
          <w:szCs w:val="20"/>
          <w:lang w:val="de-DE"/>
        </w:rPr>
        <w:lastRenderedPageBreak/>
        <w:t xml:space="preserve">Weitere Informationen finden Sie unter </w:t>
      </w:r>
      <w:hyperlink r:id="rId10" w:history="1">
        <w:r w:rsidRPr="002876B4">
          <w:rPr>
            <w:rStyle w:val="Hyperlink"/>
            <w:rFonts w:ascii="Verdana" w:hAnsi="Verdana"/>
            <w:sz w:val="20"/>
            <w:szCs w:val="20"/>
            <w:lang w:val="de-DE"/>
          </w:rPr>
          <w:t>www.arcticpaper.com</w:t>
        </w:r>
      </w:hyperlink>
      <w:r>
        <w:rPr>
          <w:rFonts w:ascii="Verdana" w:hAnsi="Verdana"/>
          <w:sz w:val="20"/>
          <w:szCs w:val="20"/>
          <w:lang w:val="de-DE"/>
        </w:rPr>
        <w:br/>
      </w:r>
    </w:p>
    <w:p w:rsidR="0099137F" w:rsidRPr="00530EF5" w:rsidRDefault="00FA07A7" w:rsidP="00FA07A7">
      <w:pPr>
        <w:rPr>
          <w:rFonts w:ascii="Verdana" w:hAnsi="Verdana" w:cs="AvenirCEBookOblique"/>
          <w:bCs/>
          <w:iCs/>
          <w:color w:val="000000"/>
          <w:sz w:val="18"/>
          <w:szCs w:val="18"/>
          <w:lang w:val="en-GB"/>
        </w:rPr>
      </w:pPr>
      <w:r w:rsidRPr="00FA07A7">
        <w:rPr>
          <w:rFonts w:ascii="Verdana" w:hAnsi="Verdana"/>
          <w:b/>
          <w:sz w:val="20"/>
          <w:szCs w:val="20"/>
          <w:lang w:val="pl-PL"/>
        </w:rPr>
        <w:t> </w:t>
      </w:r>
      <w:r w:rsidR="00917F8E" w:rsidRPr="00530EF5">
        <w:rPr>
          <w:rFonts w:ascii="Verdana" w:hAnsi="Verdana" w:cs="AvenirCEBookOblique"/>
          <w:bCs/>
          <w:iCs/>
          <w:noProof/>
          <w:color w:val="000000"/>
          <w:sz w:val="18"/>
          <w:szCs w:val="18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45DF66C8" wp14:editId="2676D4A9">
            <wp:simplePos x="0" y="0"/>
            <wp:positionH relativeFrom="column">
              <wp:posOffset>-1176020</wp:posOffset>
            </wp:positionH>
            <wp:positionV relativeFrom="paragraph">
              <wp:posOffset>249555</wp:posOffset>
            </wp:positionV>
            <wp:extent cx="8229600" cy="1962150"/>
            <wp:effectExtent l="0" t="0" r="0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987" b="6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9137F" w:rsidRPr="00530EF5" w:rsidSect="006B0F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8E" w:rsidRDefault="00E2138E" w:rsidP="00B269FE">
      <w:r>
        <w:separator/>
      </w:r>
    </w:p>
  </w:endnote>
  <w:endnote w:type="continuationSeparator" w:id="0">
    <w:p w:rsidR="00E2138E" w:rsidRDefault="00E2138E" w:rsidP="00B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LT Com 85 Heavy">
    <w:altName w:val="Trebuchet MS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CEBook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8E" w:rsidRDefault="00E2138E" w:rsidP="00B269FE">
      <w:r>
        <w:separator/>
      </w:r>
    </w:p>
  </w:footnote>
  <w:footnote w:type="continuationSeparator" w:id="0">
    <w:p w:rsidR="00E2138E" w:rsidRDefault="00E2138E" w:rsidP="00B2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82C"/>
    <w:multiLevelType w:val="hybridMultilevel"/>
    <w:tmpl w:val="9F38D264"/>
    <w:lvl w:ilvl="0" w:tplc="2D5C8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39E2"/>
    <w:multiLevelType w:val="hybridMultilevel"/>
    <w:tmpl w:val="270E9A00"/>
    <w:lvl w:ilvl="0" w:tplc="F6A6F58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6165"/>
    <w:multiLevelType w:val="hybridMultilevel"/>
    <w:tmpl w:val="1304048C"/>
    <w:lvl w:ilvl="0" w:tplc="D68C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334A0"/>
    <w:multiLevelType w:val="hybridMultilevel"/>
    <w:tmpl w:val="023AB530"/>
    <w:lvl w:ilvl="0" w:tplc="057A8FF4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E0378"/>
    <w:multiLevelType w:val="hybridMultilevel"/>
    <w:tmpl w:val="A208932E"/>
    <w:lvl w:ilvl="0" w:tplc="714CF5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B0643"/>
    <w:multiLevelType w:val="hybridMultilevel"/>
    <w:tmpl w:val="294215C6"/>
    <w:lvl w:ilvl="0" w:tplc="A348B2EA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52FE2"/>
    <w:multiLevelType w:val="hybridMultilevel"/>
    <w:tmpl w:val="C944E080"/>
    <w:lvl w:ilvl="0" w:tplc="BE52BEF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442C4"/>
    <w:multiLevelType w:val="hybridMultilevel"/>
    <w:tmpl w:val="DDEE9EC0"/>
    <w:lvl w:ilvl="0" w:tplc="8B8C1DE2">
      <w:start w:val="7"/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Avenir LT Com 45 Book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458ED"/>
    <w:multiLevelType w:val="hybridMultilevel"/>
    <w:tmpl w:val="68CE1AD6"/>
    <w:lvl w:ilvl="0" w:tplc="AB788F8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85B34"/>
    <w:multiLevelType w:val="hybridMultilevel"/>
    <w:tmpl w:val="14625098"/>
    <w:lvl w:ilvl="0" w:tplc="881AD9F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sv-SE" w:vendorID="22" w:dllVersion="513" w:checkStyle="1"/>
  <w:activeWritingStyle w:appName="MSWord" w:lang="pl-PL" w:vendorID="12" w:dllVersion="512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42A7894-0049-4B0E-8F12-170A8EFC3033}"/>
    <w:docVar w:name="dgnword-eventsink" w:val="214208088"/>
  </w:docVars>
  <w:rsids>
    <w:rsidRoot w:val="00736C31"/>
    <w:rsid w:val="00021A27"/>
    <w:rsid w:val="00052BDC"/>
    <w:rsid w:val="00053D3F"/>
    <w:rsid w:val="000574C4"/>
    <w:rsid w:val="00062CCF"/>
    <w:rsid w:val="00085331"/>
    <w:rsid w:val="000C45FE"/>
    <w:rsid w:val="000D09FA"/>
    <w:rsid w:val="000D2DC0"/>
    <w:rsid w:val="000E259E"/>
    <w:rsid w:val="00111967"/>
    <w:rsid w:val="00121434"/>
    <w:rsid w:val="0012204C"/>
    <w:rsid w:val="00145DA0"/>
    <w:rsid w:val="00190EEF"/>
    <w:rsid w:val="001925DD"/>
    <w:rsid w:val="001925DF"/>
    <w:rsid w:val="001A4629"/>
    <w:rsid w:val="001A7AB1"/>
    <w:rsid w:val="001B0A90"/>
    <w:rsid w:val="001C1541"/>
    <w:rsid w:val="001E686F"/>
    <w:rsid w:val="001F4F26"/>
    <w:rsid w:val="001F7BA0"/>
    <w:rsid w:val="00213EC6"/>
    <w:rsid w:val="00221451"/>
    <w:rsid w:val="0024151D"/>
    <w:rsid w:val="0024448E"/>
    <w:rsid w:val="00250AB8"/>
    <w:rsid w:val="00250E8A"/>
    <w:rsid w:val="00253EB6"/>
    <w:rsid w:val="00256675"/>
    <w:rsid w:val="0028030A"/>
    <w:rsid w:val="00287B24"/>
    <w:rsid w:val="002A4466"/>
    <w:rsid w:val="002B091E"/>
    <w:rsid w:val="002B6964"/>
    <w:rsid w:val="002D38DA"/>
    <w:rsid w:val="0030791E"/>
    <w:rsid w:val="0031739B"/>
    <w:rsid w:val="0035747A"/>
    <w:rsid w:val="00385D9F"/>
    <w:rsid w:val="003B4DBB"/>
    <w:rsid w:val="003D1DBF"/>
    <w:rsid w:val="003D47DD"/>
    <w:rsid w:val="003E1608"/>
    <w:rsid w:val="00412D0A"/>
    <w:rsid w:val="004169CA"/>
    <w:rsid w:val="00437F79"/>
    <w:rsid w:val="00443E0C"/>
    <w:rsid w:val="00446636"/>
    <w:rsid w:val="00470935"/>
    <w:rsid w:val="00474F43"/>
    <w:rsid w:val="004756D2"/>
    <w:rsid w:val="00476AD7"/>
    <w:rsid w:val="00483D12"/>
    <w:rsid w:val="004B551E"/>
    <w:rsid w:val="004B5A87"/>
    <w:rsid w:val="004D641D"/>
    <w:rsid w:val="004F0C5C"/>
    <w:rsid w:val="00511099"/>
    <w:rsid w:val="005155D5"/>
    <w:rsid w:val="00530EF5"/>
    <w:rsid w:val="00557853"/>
    <w:rsid w:val="005617EF"/>
    <w:rsid w:val="00563833"/>
    <w:rsid w:val="005747FC"/>
    <w:rsid w:val="00590EBE"/>
    <w:rsid w:val="005926A8"/>
    <w:rsid w:val="005A30A2"/>
    <w:rsid w:val="005A422E"/>
    <w:rsid w:val="005A4FD9"/>
    <w:rsid w:val="005C618D"/>
    <w:rsid w:val="00604C38"/>
    <w:rsid w:val="00617AE8"/>
    <w:rsid w:val="00632692"/>
    <w:rsid w:val="00642049"/>
    <w:rsid w:val="0066450B"/>
    <w:rsid w:val="00683340"/>
    <w:rsid w:val="00691017"/>
    <w:rsid w:val="006A55CF"/>
    <w:rsid w:val="006A7330"/>
    <w:rsid w:val="006A7CA1"/>
    <w:rsid w:val="006B0F49"/>
    <w:rsid w:val="006B2967"/>
    <w:rsid w:val="006B6DAF"/>
    <w:rsid w:val="006C1C25"/>
    <w:rsid w:val="006E19BE"/>
    <w:rsid w:val="006F1B64"/>
    <w:rsid w:val="0070499B"/>
    <w:rsid w:val="0071355E"/>
    <w:rsid w:val="00717540"/>
    <w:rsid w:val="007250C5"/>
    <w:rsid w:val="0073095A"/>
    <w:rsid w:val="00733533"/>
    <w:rsid w:val="00736C31"/>
    <w:rsid w:val="00773F37"/>
    <w:rsid w:val="007B1897"/>
    <w:rsid w:val="007B7A8E"/>
    <w:rsid w:val="007E19F3"/>
    <w:rsid w:val="007E6D26"/>
    <w:rsid w:val="008012CC"/>
    <w:rsid w:val="00806DB1"/>
    <w:rsid w:val="00820430"/>
    <w:rsid w:val="0082172A"/>
    <w:rsid w:val="00827A9F"/>
    <w:rsid w:val="00842E60"/>
    <w:rsid w:val="00844EEF"/>
    <w:rsid w:val="00856D96"/>
    <w:rsid w:val="0086087E"/>
    <w:rsid w:val="00870AE7"/>
    <w:rsid w:val="008729A6"/>
    <w:rsid w:val="008741D3"/>
    <w:rsid w:val="00880004"/>
    <w:rsid w:val="00885A6C"/>
    <w:rsid w:val="0088618D"/>
    <w:rsid w:val="008A66C5"/>
    <w:rsid w:val="008A74E1"/>
    <w:rsid w:val="008C4E24"/>
    <w:rsid w:val="008F3793"/>
    <w:rsid w:val="00902430"/>
    <w:rsid w:val="009110C4"/>
    <w:rsid w:val="00917F8E"/>
    <w:rsid w:val="00954087"/>
    <w:rsid w:val="00963394"/>
    <w:rsid w:val="00963888"/>
    <w:rsid w:val="00963F57"/>
    <w:rsid w:val="00964229"/>
    <w:rsid w:val="00987EE9"/>
    <w:rsid w:val="0099137F"/>
    <w:rsid w:val="00993D42"/>
    <w:rsid w:val="00994BA2"/>
    <w:rsid w:val="009968FD"/>
    <w:rsid w:val="009A48B5"/>
    <w:rsid w:val="009A638D"/>
    <w:rsid w:val="009C0114"/>
    <w:rsid w:val="009D0161"/>
    <w:rsid w:val="009D3F59"/>
    <w:rsid w:val="00A066DA"/>
    <w:rsid w:val="00A142AB"/>
    <w:rsid w:val="00A156F8"/>
    <w:rsid w:val="00A23932"/>
    <w:rsid w:val="00A41108"/>
    <w:rsid w:val="00A66DE2"/>
    <w:rsid w:val="00A67335"/>
    <w:rsid w:val="00A67988"/>
    <w:rsid w:val="00A72A37"/>
    <w:rsid w:val="00A80D4F"/>
    <w:rsid w:val="00A82CBD"/>
    <w:rsid w:val="00A841A2"/>
    <w:rsid w:val="00A8734A"/>
    <w:rsid w:val="00A958BE"/>
    <w:rsid w:val="00AB354B"/>
    <w:rsid w:val="00AC0DE5"/>
    <w:rsid w:val="00AC3A2D"/>
    <w:rsid w:val="00AD203E"/>
    <w:rsid w:val="00AD2A85"/>
    <w:rsid w:val="00AD7BF1"/>
    <w:rsid w:val="00AE2944"/>
    <w:rsid w:val="00AF36A8"/>
    <w:rsid w:val="00B012C9"/>
    <w:rsid w:val="00B15015"/>
    <w:rsid w:val="00B15CAA"/>
    <w:rsid w:val="00B23179"/>
    <w:rsid w:val="00B24281"/>
    <w:rsid w:val="00B24B39"/>
    <w:rsid w:val="00B2576F"/>
    <w:rsid w:val="00B269FE"/>
    <w:rsid w:val="00B329A0"/>
    <w:rsid w:val="00B34DCD"/>
    <w:rsid w:val="00B55486"/>
    <w:rsid w:val="00B56367"/>
    <w:rsid w:val="00B60FD3"/>
    <w:rsid w:val="00B7040A"/>
    <w:rsid w:val="00B711A6"/>
    <w:rsid w:val="00B757E2"/>
    <w:rsid w:val="00B91279"/>
    <w:rsid w:val="00BB2821"/>
    <w:rsid w:val="00BD76CC"/>
    <w:rsid w:val="00C04177"/>
    <w:rsid w:val="00C22F61"/>
    <w:rsid w:val="00C24231"/>
    <w:rsid w:val="00C51F9D"/>
    <w:rsid w:val="00C970E3"/>
    <w:rsid w:val="00CB0FC8"/>
    <w:rsid w:val="00CD6A52"/>
    <w:rsid w:val="00CE04C8"/>
    <w:rsid w:val="00CE4089"/>
    <w:rsid w:val="00D15488"/>
    <w:rsid w:val="00D32730"/>
    <w:rsid w:val="00D36385"/>
    <w:rsid w:val="00D470B3"/>
    <w:rsid w:val="00D472DC"/>
    <w:rsid w:val="00D56F1D"/>
    <w:rsid w:val="00D65062"/>
    <w:rsid w:val="00D82BE2"/>
    <w:rsid w:val="00D83058"/>
    <w:rsid w:val="00D906F2"/>
    <w:rsid w:val="00D928DF"/>
    <w:rsid w:val="00D94B14"/>
    <w:rsid w:val="00DA2770"/>
    <w:rsid w:val="00DA48B6"/>
    <w:rsid w:val="00DB7300"/>
    <w:rsid w:val="00DC3772"/>
    <w:rsid w:val="00DC686A"/>
    <w:rsid w:val="00DD79BC"/>
    <w:rsid w:val="00DE3E34"/>
    <w:rsid w:val="00DE7CF8"/>
    <w:rsid w:val="00DF30E7"/>
    <w:rsid w:val="00DF3BFF"/>
    <w:rsid w:val="00E10787"/>
    <w:rsid w:val="00E2138E"/>
    <w:rsid w:val="00E257F5"/>
    <w:rsid w:val="00E30350"/>
    <w:rsid w:val="00E328C1"/>
    <w:rsid w:val="00E37073"/>
    <w:rsid w:val="00E47C37"/>
    <w:rsid w:val="00E60066"/>
    <w:rsid w:val="00E600B5"/>
    <w:rsid w:val="00E62170"/>
    <w:rsid w:val="00E7366D"/>
    <w:rsid w:val="00E7641F"/>
    <w:rsid w:val="00E8421E"/>
    <w:rsid w:val="00E91B4C"/>
    <w:rsid w:val="00EB2F60"/>
    <w:rsid w:val="00EC6D49"/>
    <w:rsid w:val="00EC7794"/>
    <w:rsid w:val="00EE2896"/>
    <w:rsid w:val="00EE3062"/>
    <w:rsid w:val="00EE34CF"/>
    <w:rsid w:val="00EF33DF"/>
    <w:rsid w:val="00F112E1"/>
    <w:rsid w:val="00F151CA"/>
    <w:rsid w:val="00F163A6"/>
    <w:rsid w:val="00F33735"/>
    <w:rsid w:val="00F40249"/>
    <w:rsid w:val="00F40E92"/>
    <w:rsid w:val="00F62C4E"/>
    <w:rsid w:val="00F65F43"/>
    <w:rsid w:val="00F8006E"/>
    <w:rsid w:val="00F84E82"/>
    <w:rsid w:val="00F875E9"/>
    <w:rsid w:val="00F97C5E"/>
    <w:rsid w:val="00FA07A7"/>
    <w:rsid w:val="00FB24CC"/>
    <w:rsid w:val="00FB3776"/>
    <w:rsid w:val="00FC166F"/>
    <w:rsid w:val="00FC631A"/>
    <w:rsid w:val="00FD275A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1858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1833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33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851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544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208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888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342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6989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660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arcticpap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arcticpap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Arctic Paper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Torsede</dc:creator>
  <cp:lastModifiedBy>Gawek Dorotea</cp:lastModifiedBy>
  <cp:revision>3</cp:revision>
  <cp:lastPrinted>2013-10-03T14:03:00Z</cp:lastPrinted>
  <dcterms:created xsi:type="dcterms:W3CDTF">2015-02-09T09:05:00Z</dcterms:created>
  <dcterms:modified xsi:type="dcterms:W3CDTF">2015-02-13T09:40:00Z</dcterms:modified>
</cp:coreProperties>
</file>